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6C" w:rsidRDefault="002D676C">
      <w:pPr>
        <w:pStyle w:val="BodyText"/>
        <w:rPr>
          <w:b/>
          <w:sz w:val="23"/>
        </w:rPr>
      </w:pPr>
    </w:p>
    <w:p w:rsidR="002D676C" w:rsidRDefault="000D191E">
      <w:pPr>
        <w:pStyle w:val="Title"/>
        <w:rPr>
          <w:color w:val="001F5F"/>
          <w:spacing w:val="-2"/>
        </w:rPr>
      </w:pPr>
      <w:r>
        <w:rPr>
          <w:color w:val="001F5F"/>
        </w:rPr>
        <w:t>Legal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Referral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Services</w:t>
      </w:r>
    </w:p>
    <w:p w:rsidR="00C67D2E" w:rsidRDefault="00C67D2E">
      <w:pPr>
        <w:pStyle w:val="Title"/>
      </w:pPr>
    </w:p>
    <w:p w:rsidR="002D676C" w:rsidRDefault="002D676C">
      <w:pPr>
        <w:pStyle w:val="BodyText"/>
        <w:spacing w:before="0"/>
        <w:rPr>
          <w:b/>
          <w:sz w:val="20"/>
        </w:rPr>
      </w:pPr>
    </w:p>
    <w:p w:rsidR="002D676C" w:rsidRDefault="002D676C">
      <w:pPr>
        <w:pStyle w:val="BodyText"/>
        <w:rPr>
          <w:b/>
          <w:sz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2"/>
        <w:gridCol w:w="3502"/>
      </w:tblGrid>
      <w:tr w:rsidR="002D676C">
        <w:trPr>
          <w:trHeight w:val="247"/>
        </w:trPr>
        <w:tc>
          <w:tcPr>
            <w:tcW w:w="4352" w:type="dxa"/>
          </w:tcPr>
          <w:p w:rsidR="002D676C" w:rsidRDefault="000D191E">
            <w:pPr>
              <w:pStyle w:val="TableParagraph"/>
              <w:spacing w:line="22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Massachusetts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(MBA)</w:t>
            </w:r>
          </w:p>
        </w:tc>
        <w:tc>
          <w:tcPr>
            <w:tcW w:w="3502" w:type="dxa"/>
          </w:tcPr>
          <w:p w:rsidR="002D676C" w:rsidRDefault="000D191E">
            <w:pPr>
              <w:pStyle w:val="TableParagraph"/>
              <w:ind w:left="0" w:right="48"/>
              <w:jc w:val="right"/>
            </w:pPr>
            <w:r>
              <w:t>Phone:</w:t>
            </w:r>
            <w:r>
              <w:rPr>
                <w:spacing w:val="-6"/>
              </w:rPr>
              <w:t xml:space="preserve"> </w:t>
            </w:r>
            <w:r>
              <w:t>617-654-0400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(Referrals)</w:t>
            </w:r>
          </w:p>
        </w:tc>
      </w:tr>
      <w:tr w:rsidR="002D676C">
        <w:trPr>
          <w:trHeight w:val="242"/>
        </w:trPr>
        <w:tc>
          <w:tcPr>
            <w:tcW w:w="4352" w:type="dxa"/>
          </w:tcPr>
          <w:p w:rsidR="002D676C" w:rsidRDefault="000D191E">
            <w:pPr>
              <w:pStyle w:val="TableParagraph"/>
              <w:spacing w:line="22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Serves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</w:t>
            </w:r>
            <w:r>
              <w:rPr>
                <w:i/>
                <w:spacing w:val="-2"/>
                <w:sz w:val="24"/>
              </w:rPr>
              <w:t>Massachusetts</w:t>
            </w:r>
          </w:p>
        </w:tc>
        <w:tc>
          <w:tcPr>
            <w:tcW w:w="3502" w:type="dxa"/>
          </w:tcPr>
          <w:p w:rsidR="002D676C" w:rsidRDefault="000D191E">
            <w:pPr>
              <w:pStyle w:val="TableParagraph"/>
              <w:spacing w:line="223" w:lineRule="exact"/>
              <w:ind w:left="0" w:right="136"/>
              <w:jc w:val="right"/>
            </w:pPr>
            <w:hyperlink r:id="rId4">
              <w:r>
                <w:rPr>
                  <w:color w:val="0000FF"/>
                  <w:spacing w:val="-2"/>
                </w:rPr>
                <w:t>http://www.masslawhelp.com/</w:t>
              </w:r>
            </w:hyperlink>
          </w:p>
        </w:tc>
      </w:tr>
    </w:tbl>
    <w:p w:rsidR="002D676C" w:rsidRDefault="002D676C">
      <w:pPr>
        <w:pStyle w:val="BodyText"/>
        <w:spacing w:before="3"/>
        <w:rPr>
          <w:b/>
          <w:sz w:val="24"/>
        </w:rPr>
      </w:pPr>
    </w:p>
    <w:p w:rsidR="002D676C" w:rsidRDefault="000D191E">
      <w:pPr>
        <w:pStyle w:val="BodyText"/>
        <w:spacing w:before="55"/>
        <w:ind w:left="195" w:right="84"/>
      </w:pPr>
      <w:r>
        <w:t>Call</w:t>
      </w:r>
      <w:r>
        <w:rPr>
          <w:spacing w:val="-7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of: 10:00</w:t>
      </w:r>
      <w:r>
        <w:rPr>
          <w:spacing w:val="-3"/>
        </w:rPr>
        <w:t xml:space="preserve"> </w:t>
      </w:r>
      <w:r>
        <w:t>a.m.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3:00</w:t>
      </w:r>
      <w:r>
        <w:rPr>
          <w:spacing w:val="-3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(M-F).</w:t>
      </w:r>
      <w:r>
        <w:rPr>
          <w:spacing w:val="-7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cost to</w:t>
      </w:r>
      <w:r>
        <w:rPr>
          <w:spacing w:val="-2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LRS,</w:t>
      </w:r>
      <w:r>
        <w:rPr>
          <w:spacing w:val="-1"/>
        </w:rPr>
        <w:t xml:space="preserve"> </w:t>
      </w:r>
      <w:r>
        <w:t>but referrals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fee- charging attorneys, who may charge you no more than $25 for the initial half-hour consultation. </w:t>
      </w:r>
      <w:r>
        <w:rPr>
          <w:i/>
        </w:rPr>
        <w:t xml:space="preserve">Not a free legal </w:t>
      </w:r>
      <w:r>
        <w:rPr>
          <w:i/>
          <w:spacing w:val="-2"/>
        </w:rPr>
        <w:t>service</w:t>
      </w:r>
      <w:r>
        <w:rPr>
          <w:spacing w:val="-2"/>
        </w:rPr>
        <w:t>.</w:t>
      </w:r>
    </w:p>
    <w:p w:rsidR="002D676C" w:rsidRDefault="000D191E">
      <w:pPr>
        <w:pStyle w:val="BodyText"/>
        <w:spacing w:before="0" w:line="244" w:lineRule="auto"/>
        <w:ind w:left="155" w:right="372"/>
      </w:pPr>
      <w:r>
        <w:t xml:space="preserve">** </w:t>
      </w:r>
      <w:r>
        <w:rPr>
          <w:b/>
          <w:u w:val="thick"/>
        </w:rPr>
        <w:t>CAUTION</w:t>
      </w:r>
      <w:r>
        <w:t>:</w:t>
      </w:r>
      <w:r>
        <w:rPr>
          <w:spacing w:val="-9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 initial</w:t>
      </w:r>
      <w:r>
        <w:rPr>
          <w:spacing w:val="-6"/>
        </w:rPr>
        <w:t xml:space="preserve"> </w:t>
      </w:r>
      <w:r>
        <w:t>consultation</w:t>
      </w:r>
      <w:r>
        <w:rPr>
          <w:spacing w:val="-11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over, the attorney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rest of the sessio</w:t>
      </w:r>
      <w:r>
        <w:t>n.</w:t>
      </w:r>
      <w:r>
        <w:rPr>
          <w:spacing w:val="-5"/>
        </w:rPr>
        <w:t xml:space="preserve"> </w:t>
      </w:r>
      <w:r>
        <w:t xml:space="preserve">With this in mind, it is advisable to </w:t>
      </w:r>
      <w:r>
        <w:rPr>
          <w:u w:val="single"/>
        </w:rPr>
        <w:t>ask about the length of the initial consultation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and fee</w:t>
      </w:r>
      <w:r>
        <w:t xml:space="preserve"> </w:t>
      </w:r>
      <w:r>
        <w:rPr>
          <w:spacing w:val="-2"/>
          <w:u w:val="single"/>
        </w:rPr>
        <w:t>immediately.</w:t>
      </w:r>
    </w:p>
    <w:p w:rsidR="002D676C" w:rsidRDefault="000D191E">
      <w:pPr>
        <w:pStyle w:val="BodyText"/>
        <w:spacing w:before="158"/>
        <w:ind w:left="195" w:right="84"/>
      </w:pPr>
      <w:r>
        <w:rPr>
          <w:b/>
        </w:rPr>
        <w:t xml:space="preserve">*** </w:t>
      </w:r>
      <w:r>
        <w:t xml:space="preserve">Since March of 1991, the </w:t>
      </w:r>
      <w:r>
        <w:rPr>
          <w:b/>
        </w:rPr>
        <w:t xml:space="preserve">MBA has sponsored a monthly </w:t>
      </w:r>
      <w:r>
        <w:rPr>
          <w:b/>
          <w:i/>
        </w:rPr>
        <w:t>Dial-A-Lawyer</w:t>
      </w:r>
      <w:r>
        <w:rPr>
          <w:b/>
          <w:i/>
          <w:spacing w:val="-5"/>
        </w:rPr>
        <w:t xml:space="preserve"> </w:t>
      </w:r>
      <w:r>
        <w:t>program that encourages</w:t>
      </w:r>
      <w:r>
        <w:rPr>
          <w:spacing w:val="-2"/>
        </w:rPr>
        <w:t xml:space="preserve"> </w:t>
      </w:r>
      <w:r>
        <w:t>members of the public to call with their legal problems and questions. This program was created in order to assist the people of Massachusetts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fallen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cracks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 Dial-A-Lawyer,</w:t>
      </w:r>
      <w:r>
        <w:rPr>
          <w:spacing w:val="-2"/>
        </w:rPr>
        <w:t xml:space="preserve"> </w:t>
      </w:r>
      <w:r>
        <w:t>call (617) 33</w:t>
      </w:r>
      <w:r>
        <w:t xml:space="preserve">8-0610 or (877) 686-0711 on the </w:t>
      </w:r>
      <w:r>
        <w:rPr>
          <w:b/>
        </w:rPr>
        <w:t xml:space="preserve">first Wednesday </w:t>
      </w:r>
      <w:r>
        <w:t>of the month between 5:30 and 7:30 p.m.</w:t>
      </w:r>
    </w:p>
    <w:p w:rsidR="002D676C" w:rsidRDefault="002D676C">
      <w:pPr>
        <w:pStyle w:val="BodyText"/>
        <w:spacing w:before="10"/>
        <w:rPr>
          <w:sz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3654"/>
      </w:tblGrid>
      <w:tr w:rsidR="002D676C">
        <w:trPr>
          <w:trHeight w:val="252"/>
        </w:trPr>
        <w:tc>
          <w:tcPr>
            <w:tcW w:w="3831" w:type="dxa"/>
          </w:tcPr>
          <w:p w:rsidR="002D676C" w:rsidRDefault="000D191E">
            <w:pPr>
              <w:pStyle w:val="TableParagraph"/>
              <w:spacing w:line="23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Boston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Association</w:t>
            </w:r>
          </w:p>
        </w:tc>
        <w:tc>
          <w:tcPr>
            <w:tcW w:w="3654" w:type="dxa"/>
          </w:tcPr>
          <w:p w:rsidR="002D676C" w:rsidRDefault="000D191E">
            <w:pPr>
              <w:pStyle w:val="TableParagraph"/>
              <w:ind w:left="1121"/>
            </w:pPr>
            <w:r>
              <w:t>Phone:</w:t>
            </w:r>
            <w:r>
              <w:rPr>
                <w:spacing w:val="-13"/>
              </w:rPr>
              <w:t xml:space="preserve"> </w:t>
            </w:r>
            <w:r>
              <w:t>617-742-</w:t>
            </w:r>
            <w:r>
              <w:rPr>
                <w:spacing w:val="-4"/>
              </w:rPr>
              <w:t>0625</w:t>
            </w:r>
          </w:p>
        </w:tc>
      </w:tr>
      <w:tr w:rsidR="002D676C">
        <w:trPr>
          <w:trHeight w:val="247"/>
        </w:trPr>
        <w:tc>
          <w:tcPr>
            <w:tcW w:w="3831" w:type="dxa"/>
          </w:tcPr>
          <w:p w:rsidR="002D676C" w:rsidRDefault="000D191E">
            <w:pPr>
              <w:pStyle w:val="TableParagraph"/>
              <w:spacing w:line="22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Serves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</w:t>
            </w:r>
            <w:r>
              <w:rPr>
                <w:i/>
                <w:spacing w:val="-2"/>
                <w:sz w:val="24"/>
              </w:rPr>
              <w:t>Massachusetts</w:t>
            </w:r>
          </w:p>
        </w:tc>
        <w:tc>
          <w:tcPr>
            <w:tcW w:w="3654" w:type="dxa"/>
          </w:tcPr>
          <w:p w:rsidR="002D676C" w:rsidRDefault="000D191E">
            <w:pPr>
              <w:pStyle w:val="TableParagraph"/>
              <w:spacing w:line="228" w:lineRule="exact"/>
              <w:ind w:left="1121"/>
            </w:pPr>
            <w:hyperlink r:id="rId5">
              <w:r>
                <w:rPr>
                  <w:color w:val="0462C1"/>
                  <w:spacing w:val="-2"/>
                  <w:u w:val="single" w:color="0462C1"/>
                </w:rPr>
                <w:t>http://www.bostonbar.org/</w:t>
              </w:r>
            </w:hyperlink>
          </w:p>
        </w:tc>
      </w:tr>
    </w:tbl>
    <w:p w:rsidR="002D676C" w:rsidRDefault="000D191E">
      <w:pPr>
        <w:pStyle w:val="BodyText"/>
        <w:spacing w:before="102"/>
        <w:ind w:left="155" w:right="372"/>
      </w:pPr>
      <w:r>
        <w:t>There is no charge to use their service and get referrals. An initial half-hour consultation with the attorney will never cost more than $25. They have many attorneys who offer flexible fee structure payments plans, and other options to accommodate your fi</w:t>
      </w:r>
      <w:r>
        <w:t>nancial needs, however you mush discuss the fees and billing directly with the attorney at the time of your</w:t>
      </w:r>
      <w:r>
        <w:rPr>
          <w:spacing w:val="-1"/>
        </w:rPr>
        <w:t xml:space="preserve"> </w:t>
      </w:r>
      <w:r>
        <w:t>call or</w:t>
      </w:r>
      <w:r>
        <w:rPr>
          <w:spacing w:val="-1"/>
        </w:rPr>
        <w:t xml:space="preserve"> </w:t>
      </w:r>
      <w:r>
        <w:t>consultation. It is a good idea to get a written fee agreement with an attorney if you decide to hire them.</w:t>
      </w:r>
    </w:p>
    <w:p w:rsidR="002D676C" w:rsidRDefault="002D676C">
      <w:pPr>
        <w:pStyle w:val="BodyText"/>
      </w:pPr>
    </w:p>
    <w:p w:rsidR="002D676C" w:rsidRDefault="000D191E">
      <w:pPr>
        <w:pStyle w:val="BodyText"/>
        <w:spacing w:before="0" w:line="237" w:lineRule="auto"/>
        <w:ind w:left="155" w:right="372"/>
      </w:pPr>
      <w:r>
        <w:t>None of</w:t>
      </w:r>
      <w:r>
        <w:rPr>
          <w:spacing w:val="-1"/>
        </w:rPr>
        <w:t xml:space="preserve"> </w:t>
      </w:r>
      <w:r>
        <w:t>their attorneys provide</w:t>
      </w:r>
      <w:r>
        <w:t xml:space="preserve"> free legal services. Depending on your income, and situation, you might qualify for a reduced rate attorney. Please contact us to see if you qualify.</w:t>
      </w:r>
    </w:p>
    <w:p w:rsidR="002D676C" w:rsidRDefault="002D676C">
      <w:pPr>
        <w:pStyle w:val="BodyText"/>
        <w:spacing w:before="11"/>
        <w:rPr>
          <w:sz w:val="2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4526"/>
      </w:tblGrid>
      <w:tr w:rsidR="002D676C">
        <w:trPr>
          <w:trHeight w:val="287"/>
        </w:trPr>
        <w:tc>
          <w:tcPr>
            <w:tcW w:w="4079" w:type="dxa"/>
          </w:tcPr>
          <w:p w:rsidR="002D676C" w:rsidRDefault="000D191E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Volunteer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Lawyers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(VLP)</w:t>
            </w:r>
          </w:p>
        </w:tc>
        <w:tc>
          <w:tcPr>
            <w:tcW w:w="4526" w:type="dxa"/>
          </w:tcPr>
          <w:p w:rsidR="002D676C" w:rsidRDefault="000D191E">
            <w:pPr>
              <w:pStyle w:val="TableParagraph"/>
              <w:ind w:left="828"/>
            </w:pPr>
            <w:r>
              <w:t>ERLI</w:t>
            </w:r>
            <w:r>
              <w:rPr>
                <w:spacing w:val="-1"/>
              </w:rPr>
              <w:t xml:space="preserve"> </w:t>
            </w:r>
            <w:r>
              <w:t>(Eastern</w:t>
            </w:r>
            <w:r>
              <w:rPr>
                <w:spacing w:val="-1"/>
              </w:rPr>
              <w:t xml:space="preserve"> </w:t>
            </w:r>
            <w:r>
              <w:t>Region</w:t>
            </w:r>
            <w:r>
              <w:rPr>
                <w:spacing w:val="-2"/>
              </w:rPr>
              <w:t xml:space="preserve"> </w:t>
            </w:r>
            <w:r>
              <w:t>Legal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Intake)</w:t>
            </w:r>
          </w:p>
        </w:tc>
      </w:tr>
      <w:tr w:rsidR="002D676C">
        <w:trPr>
          <w:trHeight w:val="532"/>
        </w:trPr>
        <w:tc>
          <w:tcPr>
            <w:tcW w:w="4079" w:type="dxa"/>
          </w:tcPr>
          <w:p w:rsidR="002D676C" w:rsidRDefault="002D676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6" w:type="dxa"/>
          </w:tcPr>
          <w:p w:rsidR="002D676C" w:rsidRDefault="000D191E">
            <w:pPr>
              <w:pStyle w:val="TableParagraph"/>
              <w:spacing w:before="3" w:line="267" w:lineRule="exact"/>
              <w:ind w:left="828"/>
            </w:pPr>
            <w:r>
              <w:t>Phone:</w:t>
            </w:r>
            <w:r>
              <w:rPr>
                <w:spacing w:val="-7"/>
              </w:rPr>
              <w:t xml:space="preserve"> </w:t>
            </w:r>
            <w:r>
              <w:t>617-603-1700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1-800-342-</w:t>
            </w:r>
            <w:r>
              <w:rPr>
                <w:spacing w:val="-4"/>
              </w:rPr>
              <w:t>5297</w:t>
            </w:r>
          </w:p>
          <w:p w:rsidR="002D676C" w:rsidRDefault="000D191E">
            <w:pPr>
              <w:pStyle w:val="TableParagraph"/>
              <w:spacing w:line="243" w:lineRule="exact"/>
              <w:ind w:left="828"/>
            </w:pPr>
            <w:hyperlink r:id="rId6">
              <w:r>
                <w:rPr>
                  <w:color w:val="0462C1"/>
                  <w:spacing w:val="-2"/>
                  <w:u w:val="single" w:color="0462C1"/>
                </w:rPr>
                <w:t>http://www.vlpnet.org/</w:t>
              </w:r>
            </w:hyperlink>
          </w:p>
        </w:tc>
      </w:tr>
    </w:tbl>
    <w:p w:rsidR="002D676C" w:rsidRDefault="000D191E">
      <w:pPr>
        <w:pStyle w:val="BodyText"/>
        <w:spacing w:before="84" w:line="196" w:lineRule="auto"/>
        <w:ind w:left="195" w:right="84"/>
      </w:pPr>
      <w:r>
        <w:t>VLP represents</w:t>
      </w:r>
      <w:r>
        <w:rPr>
          <w:spacing w:val="29"/>
        </w:rPr>
        <w:t xml:space="preserve"> </w:t>
      </w:r>
      <w:r>
        <w:t>US citizens, green card holders,</w:t>
      </w:r>
      <w:r>
        <w:rPr>
          <w:spacing w:val="32"/>
        </w:rPr>
        <w:t xml:space="preserve"> </w:t>
      </w:r>
      <w:r>
        <w:t>and certain</w:t>
      </w:r>
      <w:r>
        <w:rPr>
          <w:spacing w:val="29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immigrants.</w:t>
      </w:r>
      <w:r>
        <w:rPr>
          <w:spacing w:val="31"/>
        </w:rPr>
        <w:t xml:space="preserve"> </w:t>
      </w:r>
      <w:r>
        <w:t>Specific rules do apply,</w:t>
      </w:r>
      <w:r>
        <w:rPr>
          <w:spacing w:val="3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legal help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funding</w:t>
      </w:r>
      <w:r>
        <w:rPr>
          <w:spacing w:val="20"/>
        </w:rPr>
        <w:t xml:space="preserve"> </w:t>
      </w:r>
      <w:r>
        <w:t>requirements. Even</w:t>
      </w:r>
      <w:r>
        <w:rPr>
          <w:spacing w:val="13"/>
        </w:rPr>
        <w:t xml:space="preserve"> </w:t>
      </w:r>
      <w:r>
        <w:t>if you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qualify</w:t>
      </w:r>
      <w:r>
        <w:rPr>
          <w:spacing w:val="14"/>
        </w:rPr>
        <w:t xml:space="preserve"> </w:t>
      </w:r>
      <w:r>
        <w:t>for their services,</w:t>
      </w:r>
      <w:r>
        <w:rPr>
          <w:spacing w:val="13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best to offer referrals.</w:t>
      </w:r>
      <w:r>
        <w:rPr>
          <w:spacing w:val="33"/>
        </w:rPr>
        <w:t xml:space="preserve"> </w:t>
      </w:r>
      <w:r>
        <w:t>All information shared with VLP</w:t>
      </w:r>
      <w:r>
        <w:rPr>
          <w:spacing w:val="28"/>
        </w:rPr>
        <w:t xml:space="preserve"> </w:t>
      </w:r>
      <w:r>
        <w:t>is private and confidential, regardless if you are</w:t>
      </w:r>
      <w:r>
        <w:rPr>
          <w:spacing w:val="34"/>
        </w:rPr>
        <w:t xml:space="preserve"> </w:t>
      </w:r>
      <w:r>
        <w:t xml:space="preserve">eligible for </w:t>
      </w:r>
      <w:r>
        <w:rPr>
          <w:spacing w:val="-2"/>
        </w:rPr>
        <w:t>assistance.</w:t>
      </w:r>
    </w:p>
    <w:p w:rsidR="002D676C" w:rsidRDefault="000D191E">
      <w:pPr>
        <w:spacing w:line="311" w:lineRule="exact"/>
        <w:ind w:left="4277"/>
        <w:rPr>
          <w:b/>
          <w:sz w:val="26"/>
        </w:rPr>
      </w:pPr>
      <w:r>
        <w:rPr>
          <w:b/>
          <w:color w:val="001F5F"/>
          <w:sz w:val="26"/>
        </w:rPr>
        <w:t>Mediation</w:t>
      </w:r>
      <w:r>
        <w:rPr>
          <w:b/>
          <w:color w:val="001F5F"/>
          <w:spacing w:val="-2"/>
          <w:sz w:val="26"/>
        </w:rPr>
        <w:t xml:space="preserve"> Services</w:t>
      </w:r>
    </w:p>
    <w:p w:rsidR="002D676C" w:rsidRDefault="000D191E">
      <w:pPr>
        <w:tabs>
          <w:tab w:val="left" w:pos="5057"/>
        </w:tabs>
        <w:spacing w:before="127" w:line="291" w:lineRule="exact"/>
        <w:ind w:left="195"/>
      </w:pPr>
      <w:r>
        <w:rPr>
          <w:b/>
          <w:sz w:val="24"/>
        </w:rPr>
        <w:t>Community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Dispute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Center</w:t>
      </w:r>
      <w:r>
        <w:rPr>
          <w:b/>
          <w:sz w:val="24"/>
        </w:rPr>
        <w:tab/>
      </w:r>
      <w:r>
        <w:t>Phone:</w:t>
      </w:r>
      <w:r>
        <w:rPr>
          <w:spacing w:val="-11"/>
        </w:rPr>
        <w:t xml:space="preserve"> </w:t>
      </w:r>
      <w:r>
        <w:t>617-876-</w:t>
      </w:r>
      <w:r>
        <w:rPr>
          <w:spacing w:val="-4"/>
        </w:rPr>
        <w:t>5376</w:t>
      </w:r>
    </w:p>
    <w:p w:rsidR="002D676C" w:rsidRDefault="000D191E">
      <w:pPr>
        <w:pStyle w:val="BodyText"/>
        <w:spacing w:before="0" w:line="267" w:lineRule="exact"/>
        <w:ind w:left="5057"/>
      </w:pPr>
      <w:hyperlink r:id="rId7">
        <w:r>
          <w:rPr>
            <w:color w:val="0462C1"/>
            <w:spacing w:val="-2"/>
            <w:u w:val="single" w:color="0462C1"/>
          </w:rPr>
          <w:t>http://www.communitydispute.org/</w:t>
        </w:r>
      </w:hyperlink>
    </w:p>
    <w:p w:rsidR="002D676C" w:rsidRDefault="000D191E">
      <w:pPr>
        <w:pStyle w:val="BodyText"/>
        <w:spacing w:before="121"/>
        <w:ind w:left="155" w:right="84"/>
        <w:rPr>
          <w:sz w:val="20"/>
        </w:rPr>
      </w:pPr>
      <w:r>
        <w:t>Fees</w:t>
      </w:r>
      <w:r>
        <w:rPr>
          <w:spacing w:val="-4"/>
        </w:rPr>
        <w:t xml:space="preserve"> </w:t>
      </w:r>
      <w:r>
        <w:t>are per session</w:t>
      </w:r>
      <w:r>
        <w:rPr>
          <w:spacing w:val="-4"/>
        </w:rPr>
        <w:t xml:space="preserve"> </w:t>
      </w:r>
      <w:r>
        <w:t>(not per hour)</w:t>
      </w:r>
      <w:r>
        <w:rPr>
          <w:spacing w:val="-5"/>
        </w:rPr>
        <w:t xml:space="preserve"> </w:t>
      </w:r>
      <w:r>
        <w:t>and are</w:t>
      </w:r>
      <w:r>
        <w:rPr>
          <w:spacing w:val="-3"/>
        </w:rPr>
        <w:t xml:space="preserve"> </w:t>
      </w:r>
      <w:r>
        <w:t>based on individual (or household) gross income/assets. A mediation session typically lasts 2-3 hours</w:t>
      </w:r>
      <w:r>
        <w:rPr>
          <w:sz w:val="20"/>
        </w:rPr>
        <w:t>.</w:t>
      </w:r>
    </w:p>
    <w:p w:rsidR="002D676C" w:rsidRDefault="002D676C">
      <w:pPr>
        <w:pStyle w:val="BodyText"/>
      </w:pPr>
    </w:p>
    <w:p w:rsidR="002D676C" w:rsidRDefault="000D191E">
      <w:pPr>
        <w:tabs>
          <w:tab w:val="left" w:pos="5057"/>
        </w:tabs>
        <w:ind w:left="5057" w:right="884" w:hanging="4863"/>
      </w:pPr>
      <w:r>
        <w:rPr>
          <w:b/>
          <w:sz w:val="24"/>
        </w:rPr>
        <w:t>Harvard Mediation Program</w:t>
      </w:r>
      <w:r>
        <w:rPr>
          <w:b/>
          <w:sz w:val="24"/>
        </w:rPr>
        <w:tab/>
      </w:r>
      <w:r>
        <w:t xml:space="preserve">Phone: 617-495-1854 </w:t>
      </w:r>
      <w:hyperlink r:id="rId8">
        <w:r>
          <w:rPr>
            <w:color w:val="0462C1"/>
            <w:spacing w:val="-2"/>
            <w:u w:val="single" w:color="0462C1"/>
          </w:rPr>
          <w:t>https://clinics.law.harvard.edu/hmp/refer-a-dispute/</w:t>
        </w:r>
      </w:hyperlink>
    </w:p>
    <w:p w:rsidR="002D676C" w:rsidRDefault="002D676C">
      <w:pPr>
        <w:pStyle w:val="BodyText"/>
        <w:spacing w:before="9"/>
        <w:rPr>
          <w:sz w:val="15"/>
        </w:rPr>
      </w:pPr>
    </w:p>
    <w:p w:rsidR="002D676C" w:rsidRDefault="000D191E">
      <w:pPr>
        <w:tabs>
          <w:tab w:val="left" w:pos="5057"/>
        </w:tabs>
        <w:spacing w:before="52"/>
        <w:ind w:left="155"/>
      </w:pPr>
      <w:r>
        <w:rPr>
          <w:b/>
          <w:sz w:val="24"/>
        </w:rPr>
        <w:t>Mediation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Inc.</w:t>
      </w:r>
      <w:r>
        <w:rPr>
          <w:b/>
          <w:sz w:val="24"/>
        </w:rPr>
        <w:tab/>
      </w:r>
      <w:r>
        <w:t>Phone:</w:t>
      </w:r>
      <w:r>
        <w:rPr>
          <w:spacing w:val="-11"/>
        </w:rPr>
        <w:t xml:space="preserve"> </w:t>
      </w:r>
      <w:r>
        <w:t>617-973-</w:t>
      </w:r>
      <w:r>
        <w:rPr>
          <w:spacing w:val="-4"/>
        </w:rPr>
        <w:t>9739</w:t>
      </w:r>
    </w:p>
    <w:p w:rsidR="002D676C" w:rsidRDefault="000D191E">
      <w:pPr>
        <w:pStyle w:val="BodyText"/>
        <w:tabs>
          <w:tab w:val="left" w:pos="5057"/>
        </w:tabs>
        <w:ind w:left="155"/>
      </w:pPr>
      <w:r>
        <w:t>10</w:t>
      </w:r>
      <w:r>
        <w:rPr>
          <w:spacing w:val="-5"/>
        </w:rPr>
        <w:t xml:space="preserve"> </w:t>
      </w:r>
      <w:r>
        <w:t>Liberty</w:t>
      </w:r>
      <w:r>
        <w:rPr>
          <w:spacing w:val="-2"/>
        </w:rPr>
        <w:t xml:space="preserve"> </w:t>
      </w:r>
      <w:r>
        <w:t>Sq.,</w:t>
      </w:r>
      <w:r>
        <w:rPr>
          <w:spacing w:val="-3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floor,</w:t>
      </w:r>
      <w:r>
        <w:rPr>
          <w:spacing w:val="-2"/>
        </w:rPr>
        <w:t xml:space="preserve"> Boston</w:t>
      </w:r>
      <w:r>
        <w:tab/>
      </w:r>
      <w:hyperlink r:id="rId9">
        <w:r>
          <w:rPr>
            <w:color w:val="0462C1"/>
            <w:spacing w:val="-2"/>
            <w:u w:val="single" w:color="0462C1"/>
          </w:rPr>
          <w:t>https://www.mwi.org/</w:t>
        </w:r>
      </w:hyperlink>
    </w:p>
    <w:p w:rsidR="002D676C" w:rsidRDefault="002D676C">
      <w:pPr>
        <w:pStyle w:val="BodyText"/>
        <w:spacing w:before="5"/>
        <w:rPr>
          <w:sz w:val="21"/>
        </w:rPr>
      </w:pPr>
    </w:p>
    <w:p w:rsidR="00C67D2E" w:rsidRDefault="00C67D2E">
      <w:pPr>
        <w:spacing w:before="63"/>
        <w:ind w:left="1210" w:right="1570"/>
        <w:jc w:val="center"/>
        <w:rPr>
          <w:b/>
          <w:color w:val="001F5F"/>
          <w:sz w:val="18"/>
        </w:rPr>
      </w:pPr>
    </w:p>
    <w:p w:rsidR="002D676C" w:rsidRDefault="00C67D2E">
      <w:pPr>
        <w:spacing w:before="63"/>
        <w:ind w:left="1210" w:right="1570"/>
        <w:jc w:val="center"/>
        <w:rPr>
          <w:b/>
          <w:color w:val="001F5F"/>
          <w:sz w:val="18"/>
        </w:rPr>
      </w:pPr>
      <w:r>
        <w:rPr>
          <w:b/>
          <w:color w:val="001F5F"/>
          <w:sz w:val="18"/>
        </w:rPr>
        <w:t>Harvard Ombuds Office, Cambridge and Longwood</w:t>
      </w:r>
      <w:bookmarkStart w:id="0" w:name="_GoBack"/>
      <w:bookmarkEnd w:id="0"/>
    </w:p>
    <w:p w:rsidR="00C67D2E" w:rsidRDefault="00C67D2E">
      <w:pPr>
        <w:spacing w:before="63"/>
        <w:ind w:left="1210" w:right="1570"/>
        <w:jc w:val="center"/>
        <w:rPr>
          <w:b/>
          <w:sz w:val="14"/>
        </w:rPr>
      </w:pPr>
      <w:r>
        <w:rPr>
          <w:b/>
          <w:sz w:val="14"/>
        </w:rPr>
        <w:t>Cambridge Office: 617-495-8146 | Longwood Office: 617-432-4041</w:t>
      </w:r>
    </w:p>
    <w:p w:rsidR="002D676C" w:rsidRDefault="002D676C">
      <w:pPr>
        <w:ind w:left="1210" w:right="1570"/>
        <w:jc w:val="center"/>
        <w:rPr>
          <w:sz w:val="18"/>
        </w:rPr>
      </w:pPr>
    </w:p>
    <w:sectPr w:rsidR="002D676C">
      <w:type w:val="continuous"/>
      <w:pgSz w:w="12240" w:h="15840"/>
      <w:pgMar w:top="560" w:right="6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6C"/>
    <w:rsid w:val="000D191E"/>
    <w:rsid w:val="002D676C"/>
    <w:rsid w:val="00C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6577"/>
  <w15:docId w15:val="{4ABCB2CE-0E00-4CC9-BB9F-0E91467F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ind w:left="1286" w:right="136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s.law.harvard.edu/hmp/refer-a-dispute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mmunitydispute.org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pnet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stonbar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sslawhelp.com/" TargetMode="External"/><Relationship Id="rId9" Type="http://schemas.openxmlformats.org/officeDocument/2006/relationships/hyperlink" Target="https://www.mwi.org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61D54AA71914AABC26FA431BCAD26" ma:contentTypeVersion="14" ma:contentTypeDescription="Create a new document." ma:contentTypeScope="" ma:versionID="5f8ea52c960a5f117af7f3b05ac9792f">
  <xsd:schema xmlns:xsd="http://www.w3.org/2001/XMLSchema" xmlns:xs="http://www.w3.org/2001/XMLSchema" xmlns:p="http://schemas.microsoft.com/office/2006/metadata/properties" xmlns:ns2="032a2385-9603-4cd7-ad6b-cdc1552ae9bc" xmlns:ns3="e5d2299f-72b3-40d0-9113-4215cf184bd1" targetNamespace="http://schemas.microsoft.com/office/2006/metadata/properties" ma:root="true" ma:fieldsID="3be5ec8d21b998682c2843b8236d8b62" ns2:_="" ns3:_="">
    <xsd:import namespace="032a2385-9603-4cd7-ad6b-cdc1552ae9bc"/>
    <xsd:import namespace="e5d2299f-72b3-40d0-9113-4215cf184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a2385-9603-4cd7-ad6b-cdc1552ae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2299f-72b3-40d0-9113-4215cf184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769cae-76c0-4399-a7c9-f51191183d94}" ma:internalName="TaxCatchAll" ma:showField="CatchAllData" ma:web="e5d2299f-72b3-40d0-9113-4215cf184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a2385-9603-4cd7-ad6b-cdc1552ae9bc">
      <Terms xmlns="http://schemas.microsoft.com/office/infopath/2007/PartnerControls"/>
    </lcf76f155ced4ddcb4097134ff3c332f>
    <TaxCatchAll xmlns="e5d2299f-72b3-40d0-9113-4215cf184bd1" xsi:nil="true"/>
  </documentManagement>
</p:properties>
</file>

<file path=customXml/itemProps1.xml><?xml version="1.0" encoding="utf-8"?>
<ds:datastoreItem xmlns:ds="http://schemas.openxmlformats.org/officeDocument/2006/customXml" ds:itemID="{F1F51B55-86E5-45BE-8ED0-A50EDCB50C48}"/>
</file>

<file path=customXml/itemProps2.xml><?xml version="1.0" encoding="utf-8"?>
<ds:datastoreItem xmlns:ds="http://schemas.openxmlformats.org/officeDocument/2006/customXml" ds:itemID="{D6BF4964-5EA9-4D45-81A5-34119D92A08A}"/>
</file>

<file path=customXml/itemProps3.xml><?xml version="1.0" encoding="utf-8"?>
<ds:datastoreItem xmlns:ds="http://schemas.openxmlformats.org/officeDocument/2006/customXml" ds:itemID="{4BB80D6E-1F11-45CE-9367-7040851CD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Robin M</dc:creator>
  <cp:lastModifiedBy>Cheung, Robin M</cp:lastModifiedBy>
  <cp:revision>2</cp:revision>
  <dcterms:created xsi:type="dcterms:W3CDTF">2022-05-20T20:41:00Z</dcterms:created>
  <dcterms:modified xsi:type="dcterms:W3CDTF">2022-05-20T20:41:00Z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2022-05-20T00:00:00Z</vt:filetime>
  </property>
  <property fmtid="{D5CDD505-2E9C-101B-9397-08002B2CF9AE}" pid="5" name="ContentTypeId">
    <vt:lpwstr>0x010100D1961D54AA71914AABC26FA431BCAD26</vt:lpwstr>
  </property>
</Properties>
</file>